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0" w:type="auto"/>
        <w:tblLook w:val="04A0" w:firstRow="1" w:lastRow="0" w:firstColumn="1" w:lastColumn="0" w:noHBand="0" w:noVBand="1"/>
      </w:tblPr>
      <w:tblGrid>
        <w:gridCol w:w="10070"/>
      </w:tblGrid>
      <w:tr w:rsidR="00891D44" w:rsidTr="00891D44">
        <w:tc>
          <w:tcPr>
            <w:tcW w:w="10070" w:type="dxa"/>
            <w:shd w:val="clear" w:color="auto" w:fill="BDD6EE" w:themeFill="accent1" w:themeFillTint="66"/>
          </w:tcPr>
          <w:p w:rsidR="00891D44" w:rsidRDefault="00891D44" w:rsidP="00891D44">
            <w:pPr>
              <w:jc w:val="center"/>
            </w:pPr>
            <w:r w:rsidRPr="00891D44">
              <w:rPr>
                <w:b/>
                <w:sz w:val="24"/>
              </w:rPr>
              <w:t>DEFINICIÓN</w:t>
            </w:r>
          </w:p>
        </w:tc>
      </w:tr>
      <w:tr w:rsidR="00891D44" w:rsidTr="00891D44">
        <w:tc>
          <w:tcPr>
            <w:tcW w:w="10070" w:type="dxa"/>
          </w:tcPr>
          <w:p w:rsidR="00891D44" w:rsidRDefault="002246BE" w:rsidP="000E4D0A">
            <w:pPr>
              <w:jc w:val="both"/>
            </w:pPr>
            <w:r>
              <w:t>Cada estructura metálica utilizada para los diferentes eventos, deberá estar acreditada por el fabricante</w:t>
            </w:r>
            <w:r w:rsidR="00FB27CA">
              <w:t xml:space="preserve"> </w:t>
            </w:r>
            <w:bookmarkStart w:id="0" w:name="_GoBack"/>
            <w:bookmarkEnd w:id="0"/>
            <w:r>
              <w:t xml:space="preserve"> y deberá presentar</w:t>
            </w:r>
            <w:r w:rsidR="000E4D0A">
              <w:t xml:space="preserve"> los</w:t>
            </w:r>
            <w:r>
              <w:t xml:space="preserve"> planos necesarios para el montaje y la respetiva  revisión</w:t>
            </w:r>
            <w:r w:rsidR="000E4D0A">
              <w:t xml:space="preserve"> o verificación durante el mismo</w:t>
            </w:r>
            <w:r>
              <w:t>. Estos planos deberán entregarse al  BOMBEROS MEDELLIN -DEPARTAMENTO ADMINISTRATI</w:t>
            </w:r>
            <w:r w:rsidR="000E4D0A">
              <w:t>VO DE GESTION DE RIESGOS DAGRD, en el momento de solicitar el Visto Bueno, para el evento.</w:t>
            </w:r>
            <w:r>
              <w:br/>
            </w:r>
          </w:p>
        </w:tc>
      </w:tr>
      <w:tr w:rsidR="0022421B" w:rsidTr="00AF0302">
        <w:tc>
          <w:tcPr>
            <w:tcW w:w="10070" w:type="dxa"/>
            <w:tcBorders>
              <w:bottom w:val="single" w:sz="4" w:space="0" w:color="auto"/>
            </w:tcBorders>
            <w:shd w:val="clear" w:color="auto" w:fill="BDD6EE" w:themeFill="accent1" w:themeFillTint="66"/>
          </w:tcPr>
          <w:p w:rsidR="0022421B" w:rsidRPr="0093740C" w:rsidRDefault="002246BE" w:rsidP="002246BE">
            <w:pPr>
              <w:rPr>
                <w:b/>
              </w:rPr>
            </w:pPr>
            <w:r>
              <w:rPr>
                <w:b/>
                <w:sz w:val="24"/>
              </w:rPr>
              <w:t>ESPECIFICACIONES TÉCNICAS</w:t>
            </w:r>
          </w:p>
        </w:tc>
      </w:tr>
      <w:tr w:rsidR="006B031B" w:rsidTr="00AF0302">
        <w:tc>
          <w:tcPr>
            <w:tcW w:w="10070" w:type="dxa"/>
            <w:tcBorders>
              <w:bottom w:val="single" w:sz="4" w:space="0" w:color="auto"/>
            </w:tcBorders>
            <w:shd w:val="clear" w:color="auto" w:fill="2E74B5" w:themeFill="accent1" w:themeFillShade="BF"/>
          </w:tcPr>
          <w:p w:rsidR="006B031B" w:rsidRPr="00BC1361" w:rsidRDefault="002246BE" w:rsidP="00597658">
            <w:pPr>
              <w:rPr>
                <w:b/>
              </w:rPr>
            </w:pPr>
            <w:r>
              <w:rPr>
                <w:b/>
                <w:color w:val="FFFFFF" w:themeColor="background1"/>
              </w:rPr>
              <w:t xml:space="preserve">PLANOS GENERALES </w:t>
            </w:r>
          </w:p>
        </w:tc>
      </w:tr>
      <w:tr w:rsidR="006B031B" w:rsidTr="00AF0302">
        <w:tc>
          <w:tcPr>
            <w:tcW w:w="10070" w:type="dxa"/>
            <w:tcBorders>
              <w:top w:val="single" w:sz="4" w:space="0" w:color="auto"/>
            </w:tcBorders>
          </w:tcPr>
          <w:p w:rsidR="002246BE" w:rsidRDefault="002246BE" w:rsidP="002246BE">
            <w:r>
              <w:t xml:space="preserve">Para obtener el </w:t>
            </w:r>
            <w:r w:rsidR="000E4D0A">
              <w:t xml:space="preserve">Visto Bueno de </w:t>
            </w:r>
            <w:r>
              <w:t>BM, se deberá presentar con los documentos del EVENTO, lo</w:t>
            </w:r>
            <w:r w:rsidR="000E4D0A">
              <w:t xml:space="preserve"> sig</w:t>
            </w:r>
            <w:r>
              <w:t>uiente:</w:t>
            </w:r>
          </w:p>
          <w:p w:rsidR="002246BE" w:rsidRDefault="002246BE" w:rsidP="002246BE"/>
          <w:p w:rsidR="002246BE" w:rsidRDefault="002246BE" w:rsidP="002246BE">
            <w:r w:rsidRPr="00FC2648">
              <w:rPr>
                <w:b/>
              </w:rPr>
              <w:t>PLANO ISOMETRICO</w:t>
            </w:r>
            <w:r>
              <w:t>:  preferiblemente a escala, de tal manera que se puede visualizar cada una de los elementos que integran la estructura</w:t>
            </w:r>
          </w:p>
          <w:p w:rsidR="002246BE" w:rsidRDefault="002246BE" w:rsidP="000E4D0A">
            <w:pPr>
              <w:jc w:val="both"/>
            </w:pPr>
            <w:r w:rsidRPr="000E4D0A">
              <w:rPr>
                <w:b/>
              </w:rPr>
              <w:t>PLANOS CON CORTES LONGITUDANES O TRANSVERSALES</w:t>
            </w:r>
            <w:r>
              <w:t>. De ser necesario se deberá presentar los corte</w:t>
            </w:r>
            <w:r w:rsidR="000E4D0A">
              <w:t>s</w:t>
            </w:r>
            <w:r w:rsidR="00FC2648">
              <w:t xml:space="preserve">, donde se pueda visualizar </w:t>
            </w:r>
            <w:r>
              <w:t>las partes de los elementos que no sean claros en el</w:t>
            </w:r>
            <w:r w:rsidR="000E4D0A">
              <w:t xml:space="preserve"> I</w:t>
            </w:r>
            <w:r>
              <w:t>sométrico presentado.</w:t>
            </w:r>
          </w:p>
          <w:p w:rsidR="002246BE" w:rsidRDefault="00FC2648" w:rsidP="000E4D0A">
            <w:pPr>
              <w:jc w:val="both"/>
            </w:pPr>
            <w:r w:rsidRPr="000E4D0A">
              <w:rPr>
                <w:b/>
              </w:rPr>
              <w:t>PLANOS DE DETALLES</w:t>
            </w:r>
            <w:r>
              <w:t xml:space="preserve">: </w:t>
            </w:r>
            <w:r w:rsidR="002246BE">
              <w:t xml:space="preserve">Si es necesario se requerirá planos de detalles, </w:t>
            </w:r>
            <w:r w:rsidR="000E4D0A">
              <w:t xml:space="preserve"> el cual debe tener la ampliación </w:t>
            </w:r>
            <w:r w:rsidR="002246BE">
              <w:t>de la junta o unión de la estructura o alguna otra parte que requiera especial cuidado</w:t>
            </w:r>
            <w:r>
              <w:t xml:space="preserve"> en la instalación de la estructura.</w:t>
            </w:r>
          </w:p>
          <w:p w:rsidR="00BC1361" w:rsidRDefault="00BC1361" w:rsidP="00BC1361">
            <w:pPr>
              <w:jc w:val="both"/>
            </w:pPr>
          </w:p>
        </w:tc>
      </w:tr>
      <w:tr w:rsidR="00597658" w:rsidTr="00AF0302">
        <w:tc>
          <w:tcPr>
            <w:tcW w:w="10070" w:type="dxa"/>
            <w:tcBorders>
              <w:top w:val="nil"/>
            </w:tcBorders>
            <w:shd w:val="clear" w:color="auto" w:fill="2E74B5" w:themeFill="accent1" w:themeFillShade="BF"/>
          </w:tcPr>
          <w:p w:rsidR="00597658" w:rsidRPr="00597658" w:rsidRDefault="00FC2648" w:rsidP="00BC1361">
            <w:pPr>
              <w:jc w:val="both"/>
              <w:rPr>
                <w:b/>
              </w:rPr>
            </w:pPr>
            <w:r w:rsidRPr="00FC2648">
              <w:rPr>
                <w:b/>
                <w:color w:val="FFFFFF" w:themeColor="background1"/>
              </w:rPr>
              <w:t>MEMORIAS TECNICAS</w:t>
            </w:r>
          </w:p>
        </w:tc>
      </w:tr>
      <w:tr w:rsidR="00597658" w:rsidTr="00C0463E">
        <w:trPr>
          <w:trHeight w:val="1370"/>
        </w:trPr>
        <w:tc>
          <w:tcPr>
            <w:tcW w:w="10070" w:type="dxa"/>
            <w:tcBorders>
              <w:top w:val="nil"/>
            </w:tcBorders>
          </w:tcPr>
          <w:p w:rsidR="000010BD" w:rsidRDefault="00E46F98" w:rsidP="00BC1361">
            <w:pPr>
              <w:jc w:val="both"/>
            </w:pPr>
            <w:r>
              <w:t>Las cuales deben a</w:t>
            </w:r>
            <w:r w:rsidR="00FC2648" w:rsidRPr="00FC2648">
              <w:t>barca</w:t>
            </w:r>
            <w:r>
              <w:t>r</w:t>
            </w:r>
            <w:r w:rsidR="00FC2648" w:rsidRPr="00FC2648">
              <w:t xml:space="preserve"> la información sobre todas las acciones, coeficientes de seguridad, cálculos; especificación de los materiales a utilizar, condiciones de ejecución y montaje.</w:t>
            </w:r>
            <w:r w:rsidR="00FC2648">
              <w:t xml:space="preserve"> Por lo menos, se debe tener las condiciones </w:t>
            </w:r>
            <w:r w:rsidR="00C0463E">
              <w:t xml:space="preserve">para la </w:t>
            </w:r>
            <w:r w:rsidR="00FC2648">
              <w:t xml:space="preserve">ejecución </w:t>
            </w:r>
            <w:r w:rsidR="00C0463E">
              <w:t>del</w:t>
            </w:r>
            <w:r w:rsidR="00FC2648">
              <w:t xml:space="preserve"> montaje que se requieran para la estabilización de la estructura. De igual manera, las condiciones de carga de la estructura y las restricciones si las hay.</w:t>
            </w:r>
          </w:p>
        </w:tc>
      </w:tr>
      <w:tr w:rsidR="006D28AA" w:rsidTr="00682C43">
        <w:tc>
          <w:tcPr>
            <w:tcW w:w="10070" w:type="dxa"/>
            <w:tcBorders>
              <w:top w:val="single" w:sz="4" w:space="0" w:color="auto"/>
            </w:tcBorders>
            <w:shd w:val="clear" w:color="auto" w:fill="2E74B5" w:themeFill="accent1" w:themeFillShade="BF"/>
          </w:tcPr>
          <w:p w:rsidR="006D28AA" w:rsidRPr="006D28AA" w:rsidRDefault="00FC2648" w:rsidP="006D28AA">
            <w:pPr>
              <w:jc w:val="both"/>
              <w:rPr>
                <w:b/>
              </w:rPr>
            </w:pPr>
            <w:r>
              <w:rPr>
                <w:b/>
                <w:color w:val="FFFFFF" w:themeColor="background1"/>
              </w:rPr>
              <w:t>NORMATIVA TÉCNICA</w:t>
            </w:r>
          </w:p>
        </w:tc>
      </w:tr>
      <w:tr w:rsidR="006D28AA" w:rsidTr="00C0463E">
        <w:trPr>
          <w:trHeight w:val="699"/>
        </w:trPr>
        <w:tc>
          <w:tcPr>
            <w:tcW w:w="10070" w:type="dxa"/>
            <w:tcBorders>
              <w:top w:val="nil"/>
            </w:tcBorders>
          </w:tcPr>
          <w:p w:rsidR="00C0463E" w:rsidRDefault="00C0463E" w:rsidP="00572E81">
            <w:pPr>
              <w:jc w:val="both"/>
              <w:rPr>
                <w:rFonts w:ascii="Arial" w:hAnsi="Arial" w:cs="Arial"/>
                <w:color w:val="333333"/>
                <w:sz w:val="20"/>
                <w:szCs w:val="20"/>
                <w:shd w:val="clear" w:color="auto" w:fill="FFFFFF"/>
              </w:rPr>
            </w:pPr>
          </w:p>
          <w:p w:rsidR="00C0463E" w:rsidRDefault="000010BD" w:rsidP="00572E81">
            <w:pPr>
              <w:jc w:val="both"/>
              <w:rPr>
                <w:rFonts w:ascii="Arial" w:hAnsi="Arial" w:cs="Arial"/>
                <w:color w:val="333333"/>
                <w:sz w:val="20"/>
                <w:szCs w:val="20"/>
                <w:shd w:val="clear" w:color="auto" w:fill="FFFFFF"/>
              </w:rPr>
            </w:pPr>
            <w:r>
              <w:rPr>
                <w:rFonts w:ascii="Arial" w:hAnsi="Arial" w:cs="Arial"/>
                <w:color w:val="333333"/>
                <w:sz w:val="20"/>
                <w:szCs w:val="20"/>
                <w:shd w:val="clear" w:color="auto" w:fill="FFFFFF"/>
              </w:rPr>
              <w:t xml:space="preserve">De acuerdo al material que compone la estructura </w:t>
            </w:r>
            <w:r w:rsidR="00572E81">
              <w:rPr>
                <w:rFonts w:ascii="Arial" w:hAnsi="Arial" w:cs="Arial"/>
                <w:color w:val="333333"/>
                <w:sz w:val="20"/>
                <w:szCs w:val="20"/>
                <w:shd w:val="clear" w:color="auto" w:fill="FFFFFF"/>
              </w:rPr>
              <w:t xml:space="preserve"> deberá cumplirse con </w:t>
            </w:r>
            <w:r w:rsidR="00FC2648">
              <w:rPr>
                <w:rFonts w:ascii="Arial" w:hAnsi="Arial" w:cs="Arial"/>
                <w:color w:val="333333"/>
                <w:sz w:val="20"/>
                <w:szCs w:val="20"/>
                <w:shd w:val="clear" w:color="auto" w:fill="FFFFFF"/>
              </w:rPr>
              <w:t xml:space="preserve">la Normativa </w:t>
            </w:r>
            <w:r w:rsidR="00572E81">
              <w:rPr>
                <w:rFonts w:ascii="Arial" w:hAnsi="Arial" w:cs="Arial"/>
                <w:color w:val="333333"/>
                <w:sz w:val="20"/>
                <w:szCs w:val="20"/>
                <w:shd w:val="clear" w:color="auto" w:fill="FFFFFF"/>
              </w:rPr>
              <w:t xml:space="preserve">vigente </w:t>
            </w:r>
            <w:r w:rsidR="00FC2648">
              <w:rPr>
                <w:rFonts w:ascii="Arial" w:hAnsi="Arial" w:cs="Arial"/>
                <w:color w:val="333333"/>
                <w:sz w:val="20"/>
                <w:szCs w:val="20"/>
                <w:shd w:val="clear" w:color="auto" w:fill="FFFFFF"/>
              </w:rPr>
              <w:t>que le compete</w:t>
            </w:r>
            <w:r w:rsidR="00572E81">
              <w:rPr>
                <w:rFonts w:ascii="Arial" w:hAnsi="Arial" w:cs="Arial"/>
                <w:color w:val="333333"/>
                <w:sz w:val="20"/>
                <w:szCs w:val="20"/>
                <w:shd w:val="clear" w:color="auto" w:fill="FFFFFF"/>
              </w:rPr>
              <w:t xml:space="preserve"> ASTM, NTC, NSR-10.</w:t>
            </w:r>
          </w:p>
          <w:p w:rsidR="006D28AA" w:rsidRDefault="00572E81" w:rsidP="00572E81">
            <w:pPr>
              <w:jc w:val="both"/>
            </w:pPr>
            <w:r>
              <w:rPr>
                <w:rFonts w:ascii="Arial" w:hAnsi="Arial" w:cs="Arial"/>
                <w:color w:val="333333"/>
                <w:sz w:val="20"/>
                <w:szCs w:val="20"/>
                <w:shd w:val="clear" w:color="auto" w:fill="FFFFFF"/>
              </w:rPr>
              <w:t xml:space="preserve"> </w:t>
            </w:r>
          </w:p>
        </w:tc>
      </w:tr>
      <w:tr w:rsidR="00286120" w:rsidTr="00286120">
        <w:tc>
          <w:tcPr>
            <w:tcW w:w="10070" w:type="dxa"/>
            <w:tcBorders>
              <w:top w:val="nil"/>
            </w:tcBorders>
            <w:shd w:val="clear" w:color="auto" w:fill="9CC2E5" w:themeFill="accent1" w:themeFillTint="99"/>
          </w:tcPr>
          <w:p w:rsidR="00286120" w:rsidRDefault="00563038" w:rsidP="00563038">
            <w:pPr>
              <w:jc w:val="center"/>
            </w:pPr>
            <w:r>
              <w:rPr>
                <w:b/>
                <w:sz w:val="24"/>
              </w:rPr>
              <w:t>MONTAJE</w:t>
            </w:r>
          </w:p>
        </w:tc>
      </w:tr>
      <w:tr w:rsidR="00286120" w:rsidTr="00D04D8D">
        <w:tc>
          <w:tcPr>
            <w:tcW w:w="10070" w:type="dxa"/>
            <w:tcBorders>
              <w:top w:val="nil"/>
            </w:tcBorders>
            <w:shd w:val="clear" w:color="auto" w:fill="2E74B5" w:themeFill="accent1" w:themeFillShade="BF"/>
          </w:tcPr>
          <w:p w:rsidR="00286120" w:rsidRPr="00D04D8D" w:rsidRDefault="00D2394A" w:rsidP="00AF0302">
            <w:pPr>
              <w:jc w:val="both"/>
              <w:rPr>
                <w:b/>
              </w:rPr>
            </w:pPr>
            <w:r w:rsidRPr="00D04D8D">
              <w:rPr>
                <w:b/>
                <w:color w:val="FFFFFF" w:themeColor="background1"/>
              </w:rPr>
              <w:t>LUGAR</w:t>
            </w:r>
            <w:r w:rsidR="00286120" w:rsidRPr="00D04D8D">
              <w:rPr>
                <w:b/>
                <w:color w:val="FFFFFF" w:themeColor="background1"/>
              </w:rPr>
              <w:t xml:space="preserve"> CERRADO </w:t>
            </w:r>
          </w:p>
        </w:tc>
      </w:tr>
      <w:tr w:rsidR="00286120" w:rsidTr="00AC601F">
        <w:tc>
          <w:tcPr>
            <w:tcW w:w="10070" w:type="dxa"/>
            <w:tcBorders>
              <w:top w:val="nil"/>
            </w:tcBorders>
          </w:tcPr>
          <w:p w:rsidR="005E2DF1" w:rsidRDefault="005E2DF1" w:rsidP="00174F67">
            <w:pPr>
              <w:pStyle w:val="NormalWeb"/>
              <w:shd w:val="clear" w:color="auto" w:fill="FFFFFF"/>
              <w:spacing w:before="0" w:after="0"/>
              <w:textAlignment w:val="baseline"/>
              <w:rPr>
                <w:rFonts w:ascii="Arial" w:hAnsi="Arial" w:cs="Arial"/>
                <w:color w:val="333333"/>
                <w:sz w:val="20"/>
                <w:szCs w:val="20"/>
              </w:rPr>
            </w:pPr>
          </w:p>
          <w:p w:rsidR="00B63815" w:rsidRDefault="00B63815" w:rsidP="00174F67">
            <w:pPr>
              <w:pStyle w:val="NormalWeb"/>
              <w:shd w:val="clear" w:color="auto" w:fill="FFFFFF"/>
              <w:spacing w:before="0" w:after="0"/>
              <w:textAlignment w:val="baseline"/>
              <w:rPr>
                <w:rFonts w:ascii="Arial" w:hAnsi="Arial" w:cs="Arial"/>
                <w:color w:val="333333"/>
                <w:sz w:val="20"/>
                <w:szCs w:val="20"/>
              </w:rPr>
            </w:pPr>
            <w:r>
              <w:rPr>
                <w:rFonts w:ascii="Arial" w:hAnsi="Arial" w:cs="Arial"/>
                <w:color w:val="333333"/>
                <w:sz w:val="20"/>
                <w:szCs w:val="20"/>
              </w:rPr>
              <w:t>En el montaje se realiza el ensamble de los distintos elementos, a fin de que la estructura se adapte a la forma prevista en los planos</w:t>
            </w:r>
            <w:r>
              <w:rPr>
                <w:rFonts w:ascii="Arial" w:hAnsi="Arial" w:cs="Arial"/>
                <w:color w:val="333333"/>
                <w:sz w:val="20"/>
                <w:szCs w:val="20"/>
              </w:rPr>
              <w:t xml:space="preserve"> del fabricante de la estructura.</w:t>
            </w:r>
          </w:p>
          <w:p w:rsidR="00B63815" w:rsidRDefault="00B63815" w:rsidP="00167625">
            <w:pPr>
              <w:pStyle w:val="NormalWeb"/>
              <w:shd w:val="clear" w:color="auto" w:fill="FFFFFF"/>
              <w:jc w:val="both"/>
              <w:textAlignment w:val="baseline"/>
              <w:rPr>
                <w:rFonts w:ascii="Arial" w:hAnsi="Arial" w:cs="Arial"/>
                <w:color w:val="333333"/>
                <w:sz w:val="20"/>
                <w:szCs w:val="20"/>
              </w:rPr>
            </w:pPr>
            <w:r>
              <w:rPr>
                <w:rFonts w:ascii="Arial" w:hAnsi="Arial" w:cs="Arial"/>
                <w:color w:val="333333"/>
                <w:sz w:val="20"/>
                <w:szCs w:val="20"/>
              </w:rPr>
              <w:t xml:space="preserve">El montaje deberá estar supervisado por un profesional en  ingeniería civil o afín, </w:t>
            </w:r>
            <w:r w:rsidR="005E2DF1">
              <w:rPr>
                <w:rFonts w:ascii="Arial" w:hAnsi="Arial" w:cs="Arial"/>
                <w:color w:val="333333"/>
                <w:sz w:val="20"/>
                <w:szCs w:val="20"/>
              </w:rPr>
              <w:t xml:space="preserve">que cumpla con los </w:t>
            </w:r>
            <w:r w:rsidR="00167625">
              <w:rPr>
                <w:rFonts w:ascii="Arial" w:hAnsi="Arial" w:cs="Arial"/>
                <w:color w:val="333333"/>
                <w:sz w:val="20"/>
                <w:szCs w:val="20"/>
              </w:rPr>
              <w:t xml:space="preserve">requisitos </w:t>
            </w:r>
            <w:r w:rsidR="005E2DF1">
              <w:rPr>
                <w:rFonts w:ascii="Arial" w:hAnsi="Arial" w:cs="Arial"/>
                <w:color w:val="333333"/>
                <w:sz w:val="20"/>
                <w:szCs w:val="20"/>
              </w:rPr>
              <w:t xml:space="preserve"> establecidos </w:t>
            </w:r>
            <w:r>
              <w:rPr>
                <w:rFonts w:ascii="Arial" w:hAnsi="Arial" w:cs="Arial"/>
                <w:color w:val="333333"/>
                <w:sz w:val="20"/>
                <w:szCs w:val="20"/>
              </w:rPr>
              <w:t xml:space="preserve">la Ley 842  de 2003, el cual deberá revisar el correcto montaje de la estructura metálica teniendo en cuenta los siguientes aspectos: </w:t>
            </w:r>
          </w:p>
          <w:p w:rsidR="00563038" w:rsidRDefault="00563038" w:rsidP="005E2DF1">
            <w:pPr>
              <w:pStyle w:val="NormalWeb"/>
              <w:shd w:val="clear" w:color="auto" w:fill="FFFFFF"/>
              <w:spacing w:before="0" w:beforeAutospacing="0" w:after="0" w:afterAutospacing="0"/>
              <w:textAlignment w:val="baseline"/>
              <w:rPr>
                <w:rFonts w:ascii="Arial" w:hAnsi="Arial" w:cs="Arial"/>
                <w:color w:val="333333"/>
                <w:sz w:val="20"/>
                <w:szCs w:val="20"/>
              </w:rPr>
            </w:pPr>
            <w:r>
              <w:rPr>
                <w:rFonts w:ascii="Arial" w:hAnsi="Arial" w:cs="Arial"/>
                <w:color w:val="333333"/>
                <w:sz w:val="20"/>
                <w:szCs w:val="20"/>
              </w:rPr>
              <w:t>a)</w:t>
            </w:r>
            <w:r w:rsidR="00B63815">
              <w:rPr>
                <w:rFonts w:ascii="Arial" w:hAnsi="Arial" w:cs="Arial"/>
                <w:color w:val="333333"/>
                <w:sz w:val="20"/>
                <w:szCs w:val="20"/>
              </w:rPr>
              <w:t xml:space="preserve"> Supervisar el</w:t>
            </w:r>
            <w:r>
              <w:rPr>
                <w:rFonts w:ascii="Arial" w:hAnsi="Arial" w:cs="Arial"/>
                <w:color w:val="333333"/>
                <w:sz w:val="20"/>
                <w:szCs w:val="20"/>
              </w:rPr>
              <w:t xml:space="preserve"> orden asignado</w:t>
            </w:r>
            <w:r w:rsidR="00B63815">
              <w:rPr>
                <w:rFonts w:ascii="Arial" w:hAnsi="Arial" w:cs="Arial"/>
                <w:color w:val="333333"/>
                <w:sz w:val="20"/>
                <w:szCs w:val="20"/>
              </w:rPr>
              <w:t xml:space="preserve"> de los elementos </w:t>
            </w:r>
            <w:r>
              <w:rPr>
                <w:rFonts w:ascii="Arial" w:hAnsi="Arial" w:cs="Arial"/>
                <w:color w:val="333333"/>
                <w:sz w:val="20"/>
                <w:szCs w:val="20"/>
              </w:rPr>
              <w:t xml:space="preserve"> y los tiempos de montaje</w:t>
            </w:r>
            <w:r w:rsidR="00B63815">
              <w:rPr>
                <w:rFonts w:ascii="Arial" w:hAnsi="Arial" w:cs="Arial"/>
                <w:color w:val="333333"/>
                <w:sz w:val="20"/>
                <w:szCs w:val="20"/>
              </w:rPr>
              <w:t xml:space="preserve"> de la estructura</w:t>
            </w:r>
            <w:r>
              <w:rPr>
                <w:rFonts w:ascii="Arial" w:hAnsi="Arial" w:cs="Arial"/>
                <w:color w:val="333333"/>
                <w:sz w:val="20"/>
                <w:szCs w:val="20"/>
              </w:rPr>
              <w:t>.</w:t>
            </w:r>
          </w:p>
          <w:p w:rsidR="00563038" w:rsidRDefault="00563038" w:rsidP="005E2DF1">
            <w:pPr>
              <w:pStyle w:val="NormalWeb"/>
              <w:shd w:val="clear" w:color="auto" w:fill="FFFFFF"/>
              <w:spacing w:before="0" w:beforeAutospacing="0" w:after="0" w:afterAutospacing="0"/>
              <w:textAlignment w:val="baseline"/>
              <w:rPr>
                <w:rFonts w:ascii="Arial" w:hAnsi="Arial" w:cs="Arial"/>
                <w:color w:val="333333"/>
                <w:sz w:val="20"/>
                <w:szCs w:val="20"/>
              </w:rPr>
            </w:pPr>
            <w:r>
              <w:rPr>
                <w:rFonts w:ascii="Arial" w:hAnsi="Arial" w:cs="Arial"/>
                <w:color w:val="333333"/>
                <w:sz w:val="20"/>
                <w:szCs w:val="20"/>
              </w:rPr>
              <w:lastRenderedPageBreak/>
              <w:t xml:space="preserve">b) </w:t>
            </w:r>
            <w:r w:rsidR="00B63815">
              <w:rPr>
                <w:rFonts w:ascii="Arial" w:hAnsi="Arial" w:cs="Arial"/>
                <w:color w:val="333333"/>
                <w:sz w:val="20"/>
                <w:szCs w:val="20"/>
              </w:rPr>
              <w:t>Verificación</w:t>
            </w:r>
            <w:r w:rsidR="00174F67">
              <w:rPr>
                <w:rFonts w:ascii="Arial" w:hAnsi="Arial" w:cs="Arial"/>
                <w:color w:val="333333"/>
                <w:sz w:val="20"/>
                <w:szCs w:val="20"/>
              </w:rPr>
              <w:t xml:space="preserve"> del </w:t>
            </w:r>
            <w:r>
              <w:rPr>
                <w:rFonts w:ascii="Arial" w:hAnsi="Arial" w:cs="Arial"/>
                <w:color w:val="333333"/>
                <w:sz w:val="20"/>
                <w:szCs w:val="20"/>
              </w:rPr>
              <w:t>equipo a emplear en el montaje</w:t>
            </w:r>
            <w:r w:rsidR="00B63815">
              <w:rPr>
                <w:rFonts w:ascii="Arial" w:hAnsi="Arial" w:cs="Arial"/>
                <w:color w:val="333333"/>
                <w:sz w:val="20"/>
                <w:szCs w:val="20"/>
              </w:rPr>
              <w:t xml:space="preserve"> de la estructura</w:t>
            </w:r>
            <w:r>
              <w:rPr>
                <w:rFonts w:ascii="Arial" w:hAnsi="Arial" w:cs="Arial"/>
                <w:color w:val="333333"/>
                <w:sz w:val="20"/>
                <w:szCs w:val="20"/>
              </w:rPr>
              <w:t>.</w:t>
            </w:r>
          </w:p>
          <w:p w:rsidR="00563038" w:rsidRDefault="00563038" w:rsidP="005E2DF1">
            <w:pPr>
              <w:pStyle w:val="NormalWeb"/>
              <w:shd w:val="clear" w:color="auto" w:fill="FFFFFF"/>
              <w:spacing w:before="0" w:beforeAutospacing="0" w:after="0" w:afterAutospacing="0"/>
              <w:textAlignment w:val="baseline"/>
              <w:rPr>
                <w:rFonts w:ascii="Arial" w:hAnsi="Arial" w:cs="Arial"/>
                <w:color w:val="333333"/>
                <w:sz w:val="20"/>
                <w:szCs w:val="20"/>
              </w:rPr>
            </w:pPr>
            <w:r>
              <w:rPr>
                <w:rFonts w:ascii="Arial" w:hAnsi="Arial" w:cs="Arial"/>
                <w:color w:val="333333"/>
                <w:sz w:val="20"/>
                <w:szCs w:val="20"/>
              </w:rPr>
              <w:t xml:space="preserve">c) </w:t>
            </w:r>
            <w:r w:rsidR="00174F67">
              <w:rPr>
                <w:rFonts w:ascii="Arial" w:hAnsi="Arial" w:cs="Arial"/>
                <w:color w:val="333333"/>
                <w:sz w:val="20"/>
                <w:szCs w:val="20"/>
              </w:rPr>
              <w:t>Instalaciones provisionales necesarias para la estructura metálica</w:t>
            </w:r>
            <w:r>
              <w:rPr>
                <w:rFonts w:ascii="Arial" w:hAnsi="Arial" w:cs="Arial"/>
                <w:color w:val="333333"/>
                <w:sz w:val="20"/>
                <w:szCs w:val="20"/>
              </w:rPr>
              <w:t>.</w:t>
            </w:r>
          </w:p>
          <w:p w:rsidR="00563038" w:rsidRDefault="00563038" w:rsidP="005E2DF1">
            <w:pPr>
              <w:pStyle w:val="NormalWeb"/>
              <w:shd w:val="clear" w:color="auto" w:fill="FFFFFF"/>
              <w:spacing w:before="0" w:beforeAutospacing="0" w:after="0" w:afterAutospacing="0"/>
              <w:textAlignment w:val="baseline"/>
              <w:rPr>
                <w:rFonts w:ascii="Arial" w:hAnsi="Arial" w:cs="Arial"/>
                <w:color w:val="333333"/>
                <w:sz w:val="20"/>
                <w:szCs w:val="20"/>
              </w:rPr>
            </w:pPr>
            <w:r>
              <w:rPr>
                <w:rFonts w:ascii="Arial" w:hAnsi="Arial" w:cs="Arial"/>
                <w:color w:val="333333"/>
                <w:sz w:val="20"/>
                <w:szCs w:val="20"/>
              </w:rPr>
              <w:t xml:space="preserve">d) </w:t>
            </w:r>
            <w:r w:rsidR="00B63815">
              <w:rPr>
                <w:rFonts w:ascii="Arial" w:hAnsi="Arial" w:cs="Arial"/>
                <w:color w:val="333333"/>
                <w:sz w:val="20"/>
                <w:szCs w:val="20"/>
              </w:rPr>
              <w:t>P</w:t>
            </w:r>
            <w:hyperlink r:id="rId7" w:tooltip="Homologación de Soldadores" w:history="1">
              <w:r w:rsidRPr="00B63815">
                <w:rPr>
                  <w:rFonts w:ascii="Arial" w:hAnsi="Arial" w:cs="Arial"/>
                  <w:color w:val="333333"/>
                  <w:sz w:val="20"/>
                  <w:szCs w:val="20"/>
                </w:rPr>
                <w:t xml:space="preserve">ersonal </w:t>
              </w:r>
              <w:r w:rsidR="00174F67" w:rsidRPr="00B63815">
                <w:rPr>
                  <w:rFonts w:ascii="Arial" w:hAnsi="Arial" w:cs="Arial"/>
                  <w:color w:val="333333"/>
                  <w:sz w:val="20"/>
                  <w:szCs w:val="20"/>
                </w:rPr>
                <w:t xml:space="preserve">calificado </w:t>
              </w:r>
              <w:r w:rsidRPr="00B63815">
                <w:rPr>
                  <w:rFonts w:ascii="Arial" w:hAnsi="Arial" w:cs="Arial"/>
                  <w:color w:val="333333"/>
                  <w:sz w:val="20"/>
                  <w:szCs w:val="20"/>
                </w:rPr>
                <w:t>asignado</w:t>
              </w:r>
            </w:hyperlink>
            <w:r w:rsidRPr="00B63815">
              <w:t> </w:t>
            </w:r>
            <w:r>
              <w:rPr>
                <w:rFonts w:ascii="Arial" w:hAnsi="Arial" w:cs="Arial"/>
                <w:color w:val="333333"/>
                <w:sz w:val="20"/>
                <w:szCs w:val="20"/>
              </w:rPr>
              <w:t>para</w:t>
            </w:r>
            <w:r w:rsidR="00174F67">
              <w:rPr>
                <w:rFonts w:ascii="Arial" w:hAnsi="Arial" w:cs="Arial"/>
                <w:color w:val="333333"/>
                <w:sz w:val="20"/>
                <w:szCs w:val="20"/>
              </w:rPr>
              <w:t xml:space="preserve"> la ejecución del montaje</w:t>
            </w:r>
            <w:r>
              <w:rPr>
                <w:rFonts w:ascii="Arial" w:hAnsi="Arial" w:cs="Arial"/>
                <w:color w:val="333333"/>
                <w:sz w:val="20"/>
                <w:szCs w:val="20"/>
              </w:rPr>
              <w:t>.</w:t>
            </w:r>
          </w:p>
          <w:p w:rsidR="00563038" w:rsidRDefault="00563038" w:rsidP="005E2DF1">
            <w:pPr>
              <w:pStyle w:val="NormalWeb"/>
              <w:shd w:val="clear" w:color="auto" w:fill="FFFFFF"/>
              <w:spacing w:before="0" w:beforeAutospacing="0" w:after="0" w:afterAutospacing="0"/>
              <w:textAlignment w:val="baseline"/>
              <w:rPr>
                <w:rFonts w:ascii="Arial" w:hAnsi="Arial" w:cs="Arial"/>
                <w:color w:val="333333"/>
                <w:sz w:val="20"/>
                <w:szCs w:val="20"/>
              </w:rPr>
            </w:pPr>
            <w:r>
              <w:rPr>
                <w:rFonts w:ascii="Arial" w:hAnsi="Arial" w:cs="Arial"/>
                <w:color w:val="333333"/>
                <w:sz w:val="20"/>
                <w:szCs w:val="20"/>
              </w:rPr>
              <w:t>e) Elementos de seguridad y protección del personal.</w:t>
            </w:r>
          </w:p>
          <w:p w:rsidR="00D2394A" w:rsidRDefault="00563038" w:rsidP="005E2DF1">
            <w:pPr>
              <w:pStyle w:val="NormalWeb"/>
              <w:shd w:val="clear" w:color="auto" w:fill="FFFFFF"/>
              <w:spacing w:before="0" w:beforeAutospacing="0" w:after="0" w:afterAutospacing="0"/>
              <w:textAlignment w:val="baseline"/>
              <w:rPr>
                <w:rFonts w:ascii="Arial" w:hAnsi="Arial" w:cs="Arial"/>
                <w:color w:val="333333"/>
                <w:sz w:val="20"/>
                <w:szCs w:val="20"/>
              </w:rPr>
            </w:pPr>
            <w:r>
              <w:rPr>
                <w:rFonts w:ascii="Arial" w:hAnsi="Arial" w:cs="Arial"/>
                <w:color w:val="333333"/>
                <w:sz w:val="20"/>
                <w:szCs w:val="20"/>
              </w:rPr>
              <w:t>g) Control y verificación de plomos, nivelaciones y alineaciones.</w:t>
            </w:r>
          </w:p>
          <w:p w:rsidR="00B63815" w:rsidRDefault="00572E81" w:rsidP="00572E81">
            <w:pPr>
              <w:pStyle w:val="NormalWeb"/>
              <w:shd w:val="clear" w:color="auto" w:fill="FFFFFF"/>
              <w:jc w:val="both"/>
              <w:textAlignment w:val="baseline"/>
              <w:rPr>
                <w:rFonts w:ascii="Arial" w:hAnsi="Arial" w:cs="Arial"/>
                <w:color w:val="333333"/>
                <w:sz w:val="20"/>
                <w:szCs w:val="20"/>
              </w:rPr>
            </w:pPr>
            <w:r>
              <w:rPr>
                <w:rFonts w:ascii="Arial" w:hAnsi="Arial" w:cs="Arial"/>
                <w:color w:val="333333"/>
                <w:sz w:val="20"/>
                <w:szCs w:val="20"/>
              </w:rPr>
              <w:t>Por lo menos treinta minutos antes de la apertura de puertas, se deberá dar un Visto Bueno emitido por el Profesional  que supervisó el montaje, en donde se establezca el cumplimiento con las especificaciones del fabricante, su correcta instalación y el adecuado funcionamiento para el uso y la carga  a la que será sometida la estructura.</w:t>
            </w:r>
          </w:p>
          <w:p w:rsidR="00572E81" w:rsidRPr="00B63815" w:rsidRDefault="00572E81" w:rsidP="00B63815">
            <w:pPr>
              <w:pStyle w:val="NormalWeb"/>
              <w:shd w:val="clear" w:color="auto" w:fill="FFFFFF"/>
              <w:textAlignment w:val="baseline"/>
              <w:rPr>
                <w:rFonts w:ascii="Arial" w:hAnsi="Arial" w:cs="Arial"/>
                <w:color w:val="333333"/>
                <w:sz w:val="20"/>
                <w:szCs w:val="20"/>
              </w:rPr>
            </w:pPr>
          </w:p>
        </w:tc>
      </w:tr>
      <w:tr w:rsidR="00AF0302" w:rsidTr="0093740C">
        <w:tc>
          <w:tcPr>
            <w:tcW w:w="10070" w:type="dxa"/>
            <w:shd w:val="clear" w:color="auto" w:fill="BDD6EE" w:themeFill="accent1" w:themeFillTint="66"/>
          </w:tcPr>
          <w:p w:rsidR="00AF0302" w:rsidRPr="0093740C" w:rsidRDefault="00AF0302" w:rsidP="00AF0302">
            <w:pPr>
              <w:jc w:val="center"/>
              <w:rPr>
                <w:b/>
                <w:sz w:val="24"/>
              </w:rPr>
            </w:pPr>
          </w:p>
        </w:tc>
      </w:tr>
      <w:tr w:rsidR="00AF0302" w:rsidTr="001103FA">
        <w:tc>
          <w:tcPr>
            <w:tcW w:w="10070" w:type="dxa"/>
          </w:tcPr>
          <w:p w:rsidR="00AF0302" w:rsidRPr="00C76D3B" w:rsidRDefault="00AF0302" w:rsidP="00AF0302">
            <w:pPr>
              <w:jc w:val="both"/>
              <w:rPr>
                <w:sz w:val="14"/>
              </w:rPr>
            </w:pPr>
          </w:p>
        </w:tc>
      </w:tr>
    </w:tbl>
    <w:p w:rsidR="005F5052" w:rsidRDefault="005F5052"/>
    <w:tbl>
      <w:tblPr>
        <w:tblStyle w:val="Tablaconcuadrcula"/>
        <w:tblW w:w="0" w:type="auto"/>
        <w:tblLook w:val="04A0" w:firstRow="1" w:lastRow="0" w:firstColumn="1" w:lastColumn="0" w:noHBand="0" w:noVBand="1"/>
      </w:tblPr>
      <w:tblGrid>
        <w:gridCol w:w="10070"/>
      </w:tblGrid>
      <w:tr w:rsidR="00BB50BD" w:rsidTr="00682C43">
        <w:tc>
          <w:tcPr>
            <w:tcW w:w="10070" w:type="dxa"/>
            <w:shd w:val="clear" w:color="auto" w:fill="BDD6EE" w:themeFill="accent1" w:themeFillTint="66"/>
          </w:tcPr>
          <w:p w:rsidR="00BB50BD" w:rsidRDefault="000010BD" w:rsidP="00572E81">
            <w:pPr>
              <w:jc w:val="center"/>
            </w:pPr>
            <w:r>
              <w:rPr>
                <w:b/>
                <w:sz w:val="24"/>
              </w:rPr>
              <w:t>NORMA QUE APLICA</w:t>
            </w:r>
            <w:r w:rsidR="00572E81">
              <w:rPr>
                <w:b/>
                <w:sz w:val="24"/>
              </w:rPr>
              <w:t xml:space="preserve"> </w:t>
            </w:r>
          </w:p>
        </w:tc>
      </w:tr>
      <w:tr w:rsidR="00BB50BD" w:rsidTr="00BB50BD">
        <w:tc>
          <w:tcPr>
            <w:tcW w:w="10070" w:type="dxa"/>
          </w:tcPr>
          <w:p w:rsidR="004356DD" w:rsidRDefault="004356DD" w:rsidP="000010BD">
            <w:pPr>
              <w:jc w:val="both"/>
            </w:pPr>
            <w:r>
              <w:t>NTC 5832 Código de Prácticas  Estandar para Estructuras  de Acero.</w:t>
            </w:r>
          </w:p>
          <w:p w:rsidR="004356DD" w:rsidRDefault="004356DD" w:rsidP="000010BD">
            <w:pPr>
              <w:jc w:val="both"/>
            </w:pPr>
            <w:r>
              <w:t>ASTM Internacional  Varía depiendiendo del material y conexiones de la estructura</w:t>
            </w:r>
          </w:p>
          <w:p w:rsidR="000010BD" w:rsidRDefault="000010BD" w:rsidP="000010BD">
            <w:pPr>
              <w:jc w:val="both"/>
            </w:pPr>
            <w:r>
              <w:t>NTC 3341, Métodos para verificar la carga aplicada por</w:t>
            </w:r>
            <w:r>
              <w:t xml:space="preserve"> máquinas de ensayo (ASTM E4). </w:t>
            </w:r>
          </w:p>
          <w:p w:rsidR="000010BD" w:rsidRDefault="000010BD" w:rsidP="000010BD">
            <w:pPr>
              <w:jc w:val="both"/>
            </w:pPr>
            <w:r>
              <w:t>NTC 3353, Definiciones y métodos para los ensayos mecánicos de p</w:t>
            </w:r>
            <w:r>
              <w:t xml:space="preserve">roductos de acero (ASTM A370). </w:t>
            </w:r>
          </w:p>
          <w:p w:rsidR="00BB50BD" w:rsidRDefault="000010BD" w:rsidP="000010BD">
            <w:pPr>
              <w:jc w:val="both"/>
            </w:pPr>
            <w:r>
              <w:t xml:space="preserve">NSR </w:t>
            </w:r>
            <w:r w:rsidR="004356DD">
              <w:t>10 Título F</w:t>
            </w:r>
            <w:r>
              <w:t>– Normas Colombianas de Diseño y Construcción Sismo Resistente (Asociación Colombiana de Ingeniería Sísmica – AIS</w:t>
            </w:r>
          </w:p>
        </w:tc>
      </w:tr>
    </w:tbl>
    <w:p w:rsidR="004F4BF0" w:rsidRDefault="004F4BF0"/>
    <w:p w:rsidR="00BB50BD" w:rsidRDefault="00BB50BD"/>
    <w:tbl>
      <w:tblPr>
        <w:tblStyle w:val="Tablaconcuadrcula"/>
        <w:tblW w:w="0" w:type="auto"/>
        <w:tblLook w:val="04A0" w:firstRow="1" w:lastRow="0" w:firstColumn="1" w:lastColumn="0" w:noHBand="0" w:noVBand="1"/>
      </w:tblPr>
      <w:tblGrid>
        <w:gridCol w:w="3356"/>
        <w:gridCol w:w="3357"/>
        <w:gridCol w:w="3357"/>
      </w:tblGrid>
      <w:tr w:rsidR="000314DE" w:rsidTr="00682C43">
        <w:trPr>
          <w:trHeight w:val="547"/>
        </w:trPr>
        <w:tc>
          <w:tcPr>
            <w:tcW w:w="3356" w:type="dxa"/>
          </w:tcPr>
          <w:p w:rsidR="00BB50BD" w:rsidRDefault="000314DE">
            <w:r>
              <w:t>Elaboró:</w:t>
            </w:r>
          </w:p>
        </w:tc>
        <w:tc>
          <w:tcPr>
            <w:tcW w:w="3357" w:type="dxa"/>
            <w:tcBorders>
              <w:bottom w:val="single" w:sz="4" w:space="0" w:color="auto"/>
            </w:tcBorders>
          </w:tcPr>
          <w:p w:rsidR="000314DE" w:rsidRDefault="000314DE">
            <w:r>
              <w:t>Revisó:</w:t>
            </w:r>
          </w:p>
        </w:tc>
        <w:tc>
          <w:tcPr>
            <w:tcW w:w="3357" w:type="dxa"/>
          </w:tcPr>
          <w:p w:rsidR="000314DE" w:rsidRDefault="000314DE">
            <w:r>
              <w:t>Aprobó:</w:t>
            </w:r>
          </w:p>
        </w:tc>
      </w:tr>
      <w:tr w:rsidR="000314DE" w:rsidTr="005F5052">
        <w:tc>
          <w:tcPr>
            <w:tcW w:w="3356" w:type="dxa"/>
          </w:tcPr>
          <w:p w:rsidR="000314DE" w:rsidRDefault="002246BE" w:rsidP="002246BE">
            <w:r>
              <w:t>Ingeniera María Eugenia Marín</w:t>
            </w:r>
            <w:r w:rsidR="000E4D0A">
              <w:t xml:space="preserve"> Gaviria</w:t>
            </w:r>
          </w:p>
        </w:tc>
        <w:tc>
          <w:tcPr>
            <w:tcW w:w="3357" w:type="dxa"/>
          </w:tcPr>
          <w:p w:rsidR="000314DE" w:rsidRDefault="000314DE"/>
        </w:tc>
        <w:tc>
          <w:tcPr>
            <w:tcW w:w="3357" w:type="dxa"/>
          </w:tcPr>
          <w:p w:rsidR="000314DE" w:rsidRDefault="000314DE"/>
        </w:tc>
      </w:tr>
    </w:tbl>
    <w:p w:rsidR="005F5052" w:rsidRDefault="005F5052"/>
    <w:sectPr w:rsidR="005F5052" w:rsidSect="00163513">
      <w:headerReference w:type="default" r:id="rId8"/>
      <w:pgSz w:w="12240" w:h="15840" w:code="1"/>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66DC" w:rsidRDefault="004F66DC" w:rsidP="00163513">
      <w:pPr>
        <w:spacing w:after="0" w:line="240" w:lineRule="auto"/>
      </w:pPr>
      <w:r>
        <w:separator/>
      </w:r>
    </w:p>
  </w:endnote>
  <w:endnote w:type="continuationSeparator" w:id="0">
    <w:p w:rsidR="004F66DC" w:rsidRDefault="004F66DC" w:rsidP="001635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66DC" w:rsidRDefault="004F66DC" w:rsidP="00163513">
      <w:pPr>
        <w:spacing w:after="0" w:line="240" w:lineRule="auto"/>
      </w:pPr>
      <w:r>
        <w:separator/>
      </w:r>
    </w:p>
  </w:footnote>
  <w:footnote w:type="continuationSeparator" w:id="0">
    <w:p w:rsidR="004F66DC" w:rsidRDefault="004F66DC" w:rsidP="001635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0065" w:type="dxa"/>
      <w:tblInd w:w="-5" w:type="dxa"/>
      <w:tblLook w:val="04A0" w:firstRow="1" w:lastRow="0" w:firstColumn="1" w:lastColumn="0" w:noHBand="0" w:noVBand="1"/>
    </w:tblPr>
    <w:tblGrid>
      <w:gridCol w:w="1560"/>
      <w:gridCol w:w="3679"/>
      <w:gridCol w:w="1869"/>
      <w:gridCol w:w="1278"/>
      <w:gridCol w:w="1679"/>
    </w:tblGrid>
    <w:tr w:rsidR="00FD486B" w:rsidTr="0022421B">
      <w:trPr>
        <w:trHeight w:val="841"/>
      </w:trPr>
      <w:tc>
        <w:tcPr>
          <w:tcW w:w="1560" w:type="dxa"/>
          <w:vMerge w:val="restart"/>
          <w:vAlign w:val="center"/>
        </w:tcPr>
        <w:p w:rsidR="00FD486B" w:rsidRDefault="00FD486B" w:rsidP="00495DD7">
          <w:pPr>
            <w:pStyle w:val="Encabezado"/>
            <w:jc w:val="center"/>
          </w:pPr>
          <w:r>
            <w:rPr>
              <w:noProof/>
              <w:lang w:val="es-CO" w:eastAsia="es-CO"/>
            </w:rPr>
            <w:drawing>
              <wp:inline distT="0" distB="0" distL="0" distR="0" wp14:anchorId="2668373E" wp14:editId="071C1E2B">
                <wp:extent cx="838200" cy="82867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hoto.jpg"/>
                        <pic:cNvPicPr/>
                      </pic:nvPicPr>
                      <pic:blipFill>
                        <a:blip r:embed="rId1">
                          <a:extLst>
                            <a:ext uri="{28A0092B-C50C-407E-A947-70E740481C1C}">
                              <a14:useLocalDpi xmlns:a14="http://schemas.microsoft.com/office/drawing/2010/main" val="0"/>
                            </a:ext>
                          </a:extLst>
                        </a:blip>
                        <a:stretch>
                          <a:fillRect/>
                        </a:stretch>
                      </pic:blipFill>
                      <pic:spPr>
                        <a:xfrm>
                          <a:off x="0" y="0"/>
                          <a:ext cx="874074" cy="864141"/>
                        </a:xfrm>
                        <a:prstGeom prst="rect">
                          <a:avLst/>
                        </a:prstGeom>
                      </pic:spPr>
                    </pic:pic>
                  </a:graphicData>
                </a:graphic>
              </wp:inline>
            </w:drawing>
          </w:r>
        </w:p>
      </w:tc>
      <w:tc>
        <w:tcPr>
          <w:tcW w:w="8505" w:type="dxa"/>
          <w:gridSpan w:val="4"/>
          <w:vAlign w:val="center"/>
        </w:tcPr>
        <w:p w:rsidR="00FD486B" w:rsidRPr="00495DD7" w:rsidRDefault="00FD486B" w:rsidP="00495DD7">
          <w:pPr>
            <w:pStyle w:val="Encabezado"/>
            <w:jc w:val="center"/>
            <w:rPr>
              <w:sz w:val="36"/>
            </w:rPr>
          </w:pPr>
          <w:r w:rsidRPr="00495DD7">
            <w:rPr>
              <w:sz w:val="36"/>
            </w:rPr>
            <w:t>CUERPO OFICIAL DE BOMBEROS DE MEDELLÍN</w:t>
          </w:r>
        </w:p>
        <w:p w:rsidR="00FD486B" w:rsidRDefault="00FD486B" w:rsidP="00495DD7">
          <w:pPr>
            <w:pStyle w:val="Encabezado"/>
            <w:jc w:val="center"/>
          </w:pPr>
          <w:r>
            <w:t>EQUIPO DE GESTIÓN Y PROMOCIÓN PARA LA SEGURIDAD HUMANA</w:t>
          </w:r>
        </w:p>
      </w:tc>
    </w:tr>
    <w:tr w:rsidR="00FD486B" w:rsidTr="00FD486B">
      <w:trPr>
        <w:trHeight w:val="233"/>
      </w:trPr>
      <w:tc>
        <w:tcPr>
          <w:tcW w:w="1560" w:type="dxa"/>
          <w:vMerge/>
          <w:vAlign w:val="center"/>
        </w:tcPr>
        <w:p w:rsidR="00FD486B" w:rsidRDefault="00FD486B" w:rsidP="00495DD7">
          <w:pPr>
            <w:pStyle w:val="Encabezado"/>
            <w:jc w:val="center"/>
          </w:pPr>
        </w:p>
      </w:tc>
      <w:tc>
        <w:tcPr>
          <w:tcW w:w="3685" w:type="dxa"/>
          <w:vMerge w:val="restart"/>
          <w:vAlign w:val="center"/>
        </w:tcPr>
        <w:p w:rsidR="00FD486B" w:rsidRDefault="002246BE" w:rsidP="002246BE">
          <w:pPr>
            <w:pStyle w:val="Encabezado"/>
          </w:pPr>
          <w:r>
            <w:t xml:space="preserve"> ESTRUCTURA METÁLICA PARA EVENTOS</w:t>
          </w:r>
        </w:p>
      </w:tc>
      <w:tc>
        <w:tcPr>
          <w:tcW w:w="1872" w:type="dxa"/>
          <w:vMerge w:val="restart"/>
          <w:vAlign w:val="center"/>
        </w:tcPr>
        <w:p w:rsidR="00FD486B" w:rsidRDefault="00FD486B" w:rsidP="002246BE">
          <w:pPr>
            <w:pStyle w:val="Encabezado"/>
            <w:jc w:val="center"/>
          </w:pPr>
          <w:r>
            <w:t xml:space="preserve">ID </w:t>
          </w:r>
          <w:r w:rsidR="006C6306">
            <w:t xml:space="preserve">GUÍA: </w:t>
          </w:r>
        </w:p>
      </w:tc>
      <w:tc>
        <w:tcPr>
          <w:tcW w:w="1267" w:type="dxa"/>
          <w:vMerge w:val="restart"/>
          <w:vAlign w:val="center"/>
        </w:tcPr>
        <w:p w:rsidR="00FD486B" w:rsidRDefault="006C6306" w:rsidP="00495DD7">
          <w:pPr>
            <w:pStyle w:val="Encabezado"/>
            <w:jc w:val="center"/>
          </w:pPr>
          <w:r>
            <w:t>Fecha 14/12</w:t>
          </w:r>
          <w:r w:rsidR="00FD486B">
            <w:t>/</w:t>
          </w:r>
          <w:r>
            <w:t>20</w:t>
          </w:r>
          <w:r w:rsidR="00FD486B">
            <w:t>16</w:t>
          </w:r>
        </w:p>
      </w:tc>
      <w:tc>
        <w:tcPr>
          <w:tcW w:w="1681" w:type="dxa"/>
          <w:vAlign w:val="center"/>
        </w:tcPr>
        <w:p w:rsidR="00FD486B" w:rsidRDefault="00FD486B" w:rsidP="00495DD7">
          <w:pPr>
            <w:pStyle w:val="Encabezado"/>
            <w:jc w:val="center"/>
          </w:pPr>
          <w:r>
            <w:t>Versión: 1</w:t>
          </w:r>
        </w:p>
      </w:tc>
    </w:tr>
    <w:tr w:rsidR="00FD486B" w:rsidTr="0022421B">
      <w:trPr>
        <w:trHeight w:val="232"/>
      </w:trPr>
      <w:tc>
        <w:tcPr>
          <w:tcW w:w="1560" w:type="dxa"/>
          <w:vMerge/>
          <w:vAlign w:val="center"/>
        </w:tcPr>
        <w:p w:rsidR="00FD486B" w:rsidRDefault="00FD486B" w:rsidP="00495DD7">
          <w:pPr>
            <w:pStyle w:val="Encabezado"/>
            <w:jc w:val="center"/>
          </w:pPr>
        </w:p>
      </w:tc>
      <w:tc>
        <w:tcPr>
          <w:tcW w:w="3685" w:type="dxa"/>
          <w:vMerge/>
          <w:vAlign w:val="center"/>
        </w:tcPr>
        <w:p w:rsidR="00FD486B" w:rsidRDefault="00FD486B" w:rsidP="00495DD7">
          <w:pPr>
            <w:pStyle w:val="Encabezado"/>
            <w:jc w:val="center"/>
          </w:pPr>
        </w:p>
      </w:tc>
      <w:tc>
        <w:tcPr>
          <w:tcW w:w="1872" w:type="dxa"/>
          <w:vMerge/>
          <w:vAlign w:val="center"/>
        </w:tcPr>
        <w:p w:rsidR="00FD486B" w:rsidRDefault="00FD486B" w:rsidP="00495DD7">
          <w:pPr>
            <w:pStyle w:val="Encabezado"/>
            <w:jc w:val="center"/>
          </w:pPr>
        </w:p>
      </w:tc>
      <w:tc>
        <w:tcPr>
          <w:tcW w:w="1267" w:type="dxa"/>
          <w:vMerge/>
          <w:vAlign w:val="center"/>
        </w:tcPr>
        <w:p w:rsidR="00FD486B" w:rsidRDefault="00FD486B" w:rsidP="00495DD7">
          <w:pPr>
            <w:pStyle w:val="Encabezado"/>
            <w:jc w:val="center"/>
          </w:pPr>
        </w:p>
      </w:tc>
      <w:tc>
        <w:tcPr>
          <w:tcW w:w="1681" w:type="dxa"/>
          <w:vAlign w:val="center"/>
        </w:tcPr>
        <w:p w:rsidR="00FD486B" w:rsidRDefault="00FD486B" w:rsidP="00495DD7">
          <w:pPr>
            <w:pStyle w:val="Encabezado"/>
            <w:jc w:val="center"/>
          </w:pPr>
          <w:r>
            <w:t xml:space="preserve">Página </w:t>
          </w:r>
          <w:r>
            <w:rPr>
              <w:b/>
              <w:bCs/>
            </w:rPr>
            <w:fldChar w:fldCharType="begin"/>
          </w:r>
          <w:r>
            <w:rPr>
              <w:b/>
              <w:bCs/>
            </w:rPr>
            <w:instrText>PAGE  \* Arabic  \* MERGEFORMAT</w:instrText>
          </w:r>
          <w:r>
            <w:rPr>
              <w:b/>
              <w:bCs/>
            </w:rPr>
            <w:fldChar w:fldCharType="separate"/>
          </w:r>
          <w:r w:rsidR="00FB27CA">
            <w:rPr>
              <w:b/>
              <w:bCs/>
              <w:noProof/>
            </w:rPr>
            <w:t>1</w:t>
          </w:r>
          <w:r>
            <w:rPr>
              <w:b/>
              <w:bCs/>
            </w:rPr>
            <w:fldChar w:fldCharType="end"/>
          </w:r>
          <w:r>
            <w:t xml:space="preserve"> de </w:t>
          </w:r>
          <w:r>
            <w:rPr>
              <w:b/>
              <w:bCs/>
            </w:rPr>
            <w:fldChar w:fldCharType="begin"/>
          </w:r>
          <w:r>
            <w:rPr>
              <w:b/>
              <w:bCs/>
            </w:rPr>
            <w:instrText>NUMPAGES  \* Arabic  \* MERGEFORMAT</w:instrText>
          </w:r>
          <w:r>
            <w:rPr>
              <w:b/>
              <w:bCs/>
            </w:rPr>
            <w:fldChar w:fldCharType="separate"/>
          </w:r>
          <w:r w:rsidR="00FB27CA">
            <w:rPr>
              <w:b/>
              <w:bCs/>
              <w:noProof/>
            </w:rPr>
            <w:t>2</w:t>
          </w:r>
          <w:r>
            <w:rPr>
              <w:b/>
              <w:bCs/>
            </w:rPr>
            <w:fldChar w:fldCharType="end"/>
          </w:r>
        </w:p>
      </w:tc>
    </w:tr>
  </w:tbl>
  <w:p w:rsidR="00163513" w:rsidRDefault="00163513">
    <w:pPr>
      <w:pStyle w:val="Encabezado"/>
    </w:pPr>
  </w:p>
  <w:p w:rsidR="00163513" w:rsidRDefault="0016351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BF3D84"/>
    <w:multiLevelType w:val="hybridMultilevel"/>
    <w:tmpl w:val="6026FB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1D480CDD"/>
    <w:multiLevelType w:val="hybridMultilevel"/>
    <w:tmpl w:val="7D4AE7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7604627"/>
    <w:multiLevelType w:val="multilevel"/>
    <w:tmpl w:val="213EB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A456AA"/>
    <w:multiLevelType w:val="multilevel"/>
    <w:tmpl w:val="1C08D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B74D10"/>
    <w:multiLevelType w:val="hybridMultilevel"/>
    <w:tmpl w:val="8F2C140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
    <w:nsid w:val="31B06196"/>
    <w:multiLevelType w:val="hybridMultilevel"/>
    <w:tmpl w:val="10AAA5D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325639E5"/>
    <w:multiLevelType w:val="hybridMultilevel"/>
    <w:tmpl w:val="AF724DE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32CE5918"/>
    <w:multiLevelType w:val="hybridMultilevel"/>
    <w:tmpl w:val="805240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3DB93427"/>
    <w:multiLevelType w:val="multilevel"/>
    <w:tmpl w:val="E7B6F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A752918"/>
    <w:multiLevelType w:val="hybridMultilevel"/>
    <w:tmpl w:val="59C448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58323E36"/>
    <w:multiLevelType w:val="hybridMultilevel"/>
    <w:tmpl w:val="2F18F684"/>
    <w:lvl w:ilvl="0" w:tplc="D744D5E4">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1">
    <w:nsid w:val="586C6677"/>
    <w:multiLevelType w:val="hybridMultilevel"/>
    <w:tmpl w:val="60DA1C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653C0D79"/>
    <w:multiLevelType w:val="hybridMultilevel"/>
    <w:tmpl w:val="066E16BC"/>
    <w:lvl w:ilvl="0" w:tplc="240A0017">
      <w:start w:val="1"/>
      <w:numFmt w:val="low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3">
    <w:nsid w:val="6D7A3906"/>
    <w:multiLevelType w:val="hybridMultilevel"/>
    <w:tmpl w:val="D73003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6EC30642"/>
    <w:multiLevelType w:val="hybridMultilevel"/>
    <w:tmpl w:val="9058F944"/>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6FD57B43"/>
    <w:multiLevelType w:val="hybridMultilevel"/>
    <w:tmpl w:val="673CC49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77622EF1"/>
    <w:multiLevelType w:val="hybridMultilevel"/>
    <w:tmpl w:val="066E16BC"/>
    <w:lvl w:ilvl="0" w:tplc="240A0017">
      <w:start w:val="1"/>
      <w:numFmt w:val="low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7">
    <w:nsid w:val="7A7C30B2"/>
    <w:multiLevelType w:val="multilevel"/>
    <w:tmpl w:val="9BF48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1"/>
  </w:num>
  <w:num w:numId="3">
    <w:abstractNumId w:val="13"/>
  </w:num>
  <w:num w:numId="4">
    <w:abstractNumId w:val="9"/>
  </w:num>
  <w:num w:numId="5">
    <w:abstractNumId w:val="1"/>
  </w:num>
  <w:num w:numId="6">
    <w:abstractNumId w:val="4"/>
  </w:num>
  <w:num w:numId="7">
    <w:abstractNumId w:val="5"/>
  </w:num>
  <w:num w:numId="8">
    <w:abstractNumId w:val="15"/>
  </w:num>
  <w:num w:numId="9">
    <w:abstractNumId w:val="6"/>
  </w:num>
  <w:num w:numId="10">
    <w:abstractNumId w:val="12"/>
  </w:num>
  <w:num w:numId="11">
    <w:abstractNumId w:val="10"/>
  </w:num>
  <w:num w:numId="12">
    <w:abstractNumId w:val="16"/>
  </w:num>
  <w:num w:numId="13">
    <w:abstractNumId w:val="7"/>
  </w:num>
  <w:num w:numId="14">
    <w:abstractNumId w:val="0"/>
  </w:num>
  <w:num w:numId="15">
    <w:abstractNumId w:val="8"/>
  </w:num>
  <w:num w:numId="16">
    <w:abstractNumId w:val="3"/>
  </w:num>
  <w:num w:numId="17">
    <w:abstractNumId w:val="17"/>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513"/>
    <w:rsid w:val="000010BD"/>
    <w:rsid w:val="00011C5E"/>
    <w:rsid w:val="000314DE"/>
    <w:rsid w:val="00031795"/>
    <w:rsid w:val="00053969"/>
    <w:rsid w:val="000E4D0A"/>
    <w:rsid w:val="00163513"/>
    <w:rsid w:val="00167625"/>
    <w:rsid w:val="001734EA"/>
    <w:rsid w:val="00174F67"/>
    <w:rsid w:val="0022421B"/>
    <w:rsid w:val="002246BE"/>
    <w:rsid w:val="00286120"/>
    <w:rsid w:val="00373D2E"/>
    <w:rsid w:val="004356DD"/>
    <w:rsid w:val="004576DC"/>
    <w:rsid w:val="00495DD7"/>
    <w:rsid w:val="004F4BF0"/>
    <w:rsid w:val="004F66DC"/>
    <w:rsid w:val="0053423D"/>
    <w:rsid w:val="00563038"/>
    <w:rsid w:val="00572E81"/>
    <w:rsid w:val="00597658"/>
    <w:rsid w:val="005E2DF1"/>
    <w:rsid w:val="005F405D"/>
    <w:rsid w:val="005F5052"/>
    <w:rsid w:val="00682C43"/>
    <w:rsid w:val="00693FC9"/>
    <w:rsid w:val="006B031B"/>
    <w:rsid w:val="006C6095"/>
    <w:rsid w:val="006C6306"/>
    <w:rsid w:val="006C78BD"/>
    <w:rsid w:val="006D28AA"/>
    <w:rsid w:val="00891D44"/>
    <w:rsid w:val="0093740C"/>
    <w:rsid w:val="009A6F8A"/>
    <w:rsid w:val="00A16869"/>
    <w:rsid w:val="00A64F1E"/>
    <w:rsid w:val="00AB7522"/>
    <w:rsid w:val="00AF0302"/>
    <w:rsid w:val="00B04BBE"/>
    <w:rsid w:val="00B63815"/>
    <w:rsid w:val="00BB50BD"/>
    <w:rsid w:val="00BC1361"/>
    <w:rsid w:val="00C0463E"/>
    <w:rsid w:val="00C76D3B"/>
    <w:rsid w:val="00CC7E20"/>
    <w:rsid w:val="00CF195C"/>
    <w:rsid w:val="00D04D8D"/>
    <w:rsid w:val="00D2394A"/>
    <w:rsid w:val="00DB2159"/>
    <w:rsid w:val="00DD7E8E"/>
    <w:rsid w:val="00E46F98"/>
    <w:rsid w:val="00E97EEF"/>
    <w:rsid w:val="00FB27CA"/>
    <w:rsid w:val="00FB2B18"/>
    <w:rsid w:val="00FB2F03"/>
    <w:rsid w:val="00FC2648"/>
    <w:rsid w:val="00FD486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98370E21-2375-474F-8489-06A3D292A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563038"/>
    <w:pPr>
      <w:spacing w:before="100" w:beforeAutospacing="1" w:after="100" w:afterAutospacing="1" w:line="240" w:lineRule="auto"/>
      <w:outlineLvl w:val="0"/>
    </w:pPr>
    <w:rPr>
      <w:rFonts w:ascii="Times New Roman" w:eastAsia="Times New Roman" w:hAnsi="Times New Roman" w:cs="Times New Roman"/>
      <w:b/>
      <w:bCs/>
      <w:kern w:val="36"/>
      <w:sz w:val="48"/>
      <w:szCs w:val="48"/>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6351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63513"/>
  </w:style>
  <w:style w:type="paragraph" w:styleId="Piedepgina">
    <w:name w:val="footer"/>
    <w:basedOn w:val="Normal"/>
    <w:link w:val="PiedepginaCar"/>
    <w:uiPriority w:val="99"/>
    <w:unhideWhenUsed/>
    <w:rsid w:val="0016351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63513"/>
  </w:style>
  <w:style w:type="table" w:styleId="Tablaconcuadrcula">
    <w:name w:val="Table Grid"/>
    <w:basedOn w:val="Tablanormal"/>
    <w:uiPriority w:val="39"/>
    <w:rsid w:val="001635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C76D3B"/>
    <w:pPr>
      <w:ind w:left="720"/>
      <w:contextualSpacing/>
    </w:pPr>
  </w:style>
  <w:style w:type="character" w:styleId="Refdecomentario">
    <w:name w:val="annotation reference"/>
    <w:basedOn w:val="Fuentedeprrafopredeter"/>
    <w:uiPriority w:val="99"/>
    <w:semiHidden/>
    <w:unhideWhenUsed/>
    <w:rsid w:val="00693FC9"/>
    <w:rPr>
      <w:sz w:val="16"/>
      <w:szCs w:val="16"/>
    </w:rPr>
  </w:style>
  <w:style w:type="paragraph" w:styleId="Textocomentario">
    <w:name w:val="annotation text"/>
    <w:basedOn w:val="Normal"/>
    <w:link w:val="TextocomentarioCar"/>
    <w:uiPriority w:val="99"/>
    <w:semiHidden/>
    <w:unhideWhenUsed/>
    <w:rsid w:val="00693FC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93FC9"/>
    <w:rPr>
      <w:sz w:val="20"/>
      <w:szCs w:val="20"/>
    </w:rPr>
  </w:style>
  <w:style w:type="paragraph" w:styleId="Asuntodelcomentario">
    <w:name w:val="annotation subject"/>
    <w:basedOn w:val="Textocomentario"/>
    <w:next w:val="Textocomentario"/>
    <w:link w:val="AsuntodelcomentarioCar"/>
    <w:uiPriority w:val="99"/>
    <w:semiHidden/>
    <w:unhideWhenUsed/>
    <w:rsid w:val="00693FC9"/>
    <w:rPr>
      <w:b/>
      <w:bCs/>
    </w:rPr>
  </w:style>
  <w:style w:type="character" w:customStyle="1" w:styleId="AsuntodelcomentarioCar">
    <w:name w:val="Asunto del comentario Car"/>
    <w:basedOn w:val="TextocomentarioCar"/>
    <w:link w:val="Asuntodelcomentario"/>
    <w:uiPriority w:val="99"/>
    <w:semiHidden/>
    <w:rsid w:val="00693FC9"/>
    <w:rPr>
      <w:b/>
      <w:bCs/>
      <w:sz w:val="20"/>
      <w:szCs w:val="20"/>
    </w:rPr>
  </w:style>
  <w:style w:type="paragraph" w:styleId="Textodeglobo">
    <w:name w:val="Balloon Text"/>
    <w:basedOn w:val="Normal"/>
    <w:link w:val="TextodegloboCar"/>
    <w:uiPriority w:val="99"/>
    <w:semiHidden/>
    <w:unhideWhenUsed/>
    <w:rsid w:val="00693FC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93FC9"/>
    <w:rPr>
      <w:rFonts w:ascii="Segoe UI" w:hAnsi="Segoe UI" w:cs="Segoe UI"/>
      <w:sz w:val="18"/>
      <w:szCs w:val="18"/>
    </w:rPr>
  </w:style>
  <w:style w:type="character" w:customStyle="1" w:styleId="apple-converted-space">
    <w:name w:val="apple-converted-space"/>
    <w:basedOn w:val="Fuentedeprrafopredeter"/>
    <w:rsid w:val="006B031B"/>
  </w:style>
  <w:style w:type="character" w:styleId="Hipervnculo">
    <w:name w:val="Hyperlink"/>
    <w:basedOn w:val="Fuentedeprrafopredeter"/>
    <w:uiPriority w:val="99"/>
    <w:unhideWhenUsed/>
    <w:rsid w:val="006B031B"/>
    <w:rPr>
      <w:color w:val="0000FF"/>
      <w:u w:val="single"/>
    </w:rPr>
  </w:style>
  <w:style w:type="paragraph" w:styleId="NormalWeb">
    <w:name w:val="Normal (Web)"/>
    <w:basedOn w:val="Normal"/>
    <w:uiPriority w:val="99"/>
    <w:unhideWhenUsed/>
    <w:rsid w:val="005F405D"/>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paragraph" w:styleId="HTMLconformatoprevio">
    <w:name w:val="HTML Preformatted"/>
    <w:basedOn w:val="Normal"/>
    <w:link w:val="HTMLconformatoprevioCar"/>
    <w:uiPriority w:val="99"/>
    <w:unhideWhenUsed/>
    <w:rsid w:val="00FB2F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CO" w:eastAsia="es-CO"/>
    </w:rPr>
  </w:style>
  <w:style w:type="character" w:customStyle="1" w:styleId="HTMLconformatoprevioCar">
    <w:name w:val="HTML con formato previo Car"/>
    <w:basedOn w:val="Fuentedeprrafopredeter"/>
    <w:link w:val="HTMLconformatoprevio"/>
    <w:uiPriority w:val="99"/>
    <w:rsid w:val="00FB2F03"/>
    <w:rPr>
      <w:rFonts w:ascii="Courier New" w:eastAsia="Times New Roman" w:hAnsi="Courier New" w:cs="Courier New"/>
      <w:sz w:val="20"/>
      <w:szCs w:val="20"/>
      <w:lang w:val="es-CO" w:eastAsia="es-CO"/>
    </w:rPr>
  </w:style>
  <w:style w:type="character" w:customStyle="1" w:styleId="Ttulo1Car">
    <w:name w:val="Título 1 Car"/>
    <w:basedOn w:val="Fuentedeprrafopredeter"/>
    <w:link w:val="Ttulo1"/>
    <w:uiPriority w:val="9"/>
    <w:rsid w:val="00563038"/>
    <w:rPr>
      <w:rFonts w:ascii="Times New Roman" w:eastAsia="Times New Roman" w:hAnsi="Times New Roman" w:cs="Times New Roman"/>
      <w:b/>
      <w:bCs/>
      <w:kern w:val="36"/>
      <w:sz w:val="48"/>
      <w:szCs w:val="48"/>
      <w:lang w:val="es-CO" w:eastAsia="es-CO"/>
    </w:rPr>
  </w:style>
  <w:style w:type="character" w:customStyle="1" w:styleId="mw-headline">
    <w:name w:val="mw-headline"/>
    <w:basedOn w:val="Fuentedeprrafopredeter"/>
    <w:rsid w:val="005630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64659">
      <w:bodyDiv w:val="1"/>
      <w:marLeft w:val="0"/>
      <w:marRight w:val="0"/>
      <w:marTop w:val="0"/>
      <w:marBottom w:val="0"/>
      <w:divBdr>
        <w:top w:val="none" w:sz="0" w:space="0" w:color="auto"/>
        <w:left w:val="none" w:sz="0" w:space="0" w:color="auto"/>
        <w:bottom w:val="none" w:sz="0" w:space="0" w:color="auto"/>
        <w:right w:val="none" w:sz="0" w:space="0" w:color="auto"/>
      </w:divBdr>
    </w:div>
    <w:div w:id="136920600">
      <w:bodyDiv w:val="1"/>
      <w:marLeft w:val="0"/>
      <w:marRight w:val="0"/>
      <w:marTop w:val="0"/>
      <w:marBottom w:val="0"/>
      <w:divBdr>
        <w:top w:val="none" w:sz="0" w:space="0" w:color="auto"/>
        <w:left w:val="none" w:sz="0" w:space="0" w:color="auto"/>
        <w:bottom w:val="none" w:sz="0" w:space="0" w:color="auto"/>
        <w:right w:val="none" w:sz="0" w:space="0" w:color="auto"/>
      </w:divBdr>
    </w:div>
    <w:div w:id="152990085">
      <w:bodyDiv w:val="1"/>
      <w:marLeft w:val="0"/>
      <w:marRight w:val="0"/>
      <w:marTop w:val="0"/>
      <w:marBottom w:val="0"/>
      <w:divBdr>
        <w:top w:val="none" w:sz="0" w:space="0" w:color="auto"/>
        <w:left w:val="none" w:sz="0" w:space="0" w:color="auto"/>
        <w:bottom w:val="none" w:sz="0" w:space="0" w:color="auto"/>
        <w:right w:val="none" w:sz="0" w:space="0" w:color="auto"/>
      </w:divBdr>
    </w:div>
    <w:div w:id="559638342">
      <w:bodyDiv w:val="1"/>
      <w:marLeft w:val="0"/>
      <w:marRight w:val="0"/>
      <w:marTop w:val="0"/>
      <w:marBottom w:val="0"/>
      <w:divBdr>
        <w:top w:val="none" w:sz="0" w:space="0" w:color="auto"/>
        <w:left w:val="none" w:sz="0" w:space="0" w:color="auto"/>
        <w:bottom w:val="none" w:sz="0" w:space="0" w:color="auto"/>
        <w:right w:val="none" w:sz="0" w:space="0" w:color="auto"/>
      </w:divBdr>
    </w:div>
    <w:div w:id="585847474">
      <w:bodyDiv w:val="1"/>
      <w:marLeft w:val="0"/>
      <w:marRight w:val="0"/>
      <w:marTop w:val="0"/>
      <w:marBottom w:val="0"/>
      <w:divBdr>
        <w:top w:val="none" w:sz="0" w:space="0" w:color="auto"/>
        <w:left w:val="none" w:sz="0" w:space="0" w:color="auto"/>
        <w:bottom w:val="none" w:sz="0" w:space="0" w:color="auto"/>
        <w:right w:val="none" w:sz="0" w:space="0" w:color="auto"/>
      </w:divBdr>
    </w:div>
    <w:div w:id="1275986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onstrumatica.com/construpedia/Homologaci%C3%B3n_de_Soldador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2</Pages>
  <Words>551</Words>
  <Characters>3034</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CAROLT</dc:creator>
  <cp:keywords/>
  <dc:description/>
  <cp:lastModifiedBy>Ma. Eugenia Marin Gaviria</cp:lastModifiedBy>
  <cp:revision>9</cp:revision>
  <dcterms:created xsi:type="dcterms:W3CDTF">2017-01-26T02:58:00Z</dcterms:created>
  <dcterms:modified xsi:type="dcterms:W3CDTF">2017-01-26T04:31:00Z</dcterms:modified>
</cp:coreProperties>
</file>